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jc w:val="center"/>
      </w:pPr>
      <w:r>
        <w:t xml:space="preserve">MUTUAL NON-DISCLOSURE AGREEMENT</w:t>
      </w:r>
    </w:p>
    <w:p>
      <w:pPr>
        <w:spacing w:after="100"/>
        <w:jc w:val="center"/>
      </w:pPr>
      <w:r>
        <w:rPr>
          <w:i/>
          <w:iCs/>
          <w:color w:val="5B4A3E"/>
        </w:rPr>
        <w:t xml:space="preserve">with AI Processing Consent</w:t>
      </w:r>
    </w:p>
    <w:p>
      <w:pPr>
        <w:spacing w:after="100"/>
      </w:pPr>
      <w:r>
        <w:rPr>
          <w:color w:val="1F1611"/>
        </w:rPr>
        <w:t xml:space="preserve">Between </w:t>
      </w:r>
      <w:r>
        <w:rPr>
          <w:b/>
          <w:bCs/>
        </w:rPr>
        <w:t xml:space="preserve">Mike Vendetti</w:t>
      </w:r>
      <w:r>
        <w:t xml:space="preserve">, operating as Booth Ready Narrator Scripts ("Provider"), and the Client identified below.</w:t>
      </w:r>
    </w:p>
    <w:p>
      <w:pPr>
        <w:pBdr>
          <w:bottom w:val="single" w:color="C9A35E" w:sz="6" w:space="1"/>
        </w:pBdr>
        <w:spacing w:after="80" w:before="80"/>
      </w:pPr>
      <w:r>
        <w:t xml:space="preserve"/>
      </w:r>
    </w:p>
    <w:p>
      <w:pPr>
        <w:pStyle w:val="Heading3"/>
        <w:spacing w:after="80"/>
      </w:pPr>
      <w:r>
        <w:t xml:space="preserve">1.  Confidential Information</w:t>
      </w:r>
    </w:p>
    <w:p>
      <w:pPr>
        <w:spacing w:after="40"/>
      </w:pPr>
      <w:r>
        <w:t xml:space="preserve">"Confidential Information" means the manuscript and any pre-publication material Client provides to Provider, including drafts, outlines, character notes, world-building documents, audio reference, and any unpublished pricing, schedule, or business information shared during the engagement.</w:t>
      </w:r>
    </w:p>
    <w:p>
      <w:pPr>
        <w:pStyle w:val="Heading3"/>
        <w:spacing w:after="80"/>
      </w:pPr>
      <w:r>
        <w:t xml:space="preserve">2.  Provider Obligations</w:t>
      </w:r>
    </w:p>
    <w:p>
      <w:pPr>
        <w:pStyle w:val="ListParagraph"/>
        <w:numPr>
          <w:ilvl w:val="0"/>
          <w:numId w:val="2"/>
        </w:numPr>
        <w:spacing w:after="40"/>
      </w:pPr>
      <w:r>
        <w:t xml:space="preserve">Provider will use Confidential Information solely to produce the Booth Ready deliverables described in the Service Agreement.</w:t>
      </w:r>
    </w:p>
    <w:p>
      <w:pPr>
        <w:pStyle w:val="ListParagraph"/>
        <w:numPr>
          <w:ilvl w:val="0"/>
          <w:numId w:val="2"/>
        </w:numPr>
        <w:spacing w:after="40"/>
      </w:pPr>
      <w:r>
        <w:t xml:space="preserve">Provider will not publish, distribute, resell, post, or use Confidential Information for any other purpose.</w:t>
      </w:r>
    </w:p>
    <w:p>
      <w:pPr>
        <w:pStyle w:val="ListParagraph"/>
        <w:numPr>
          <w:ilvl w:val="0"/>
          <w:numId w:val="2"/>
        </w:numPr>
        <w:spacing w:after="40"/>
      </w:pPr>
      <w:r>
        <w:t xml:space="preserve">Provider will not use Confidential Information to train, fine-tune, embed, or otherwise improve any AI model — whether owned by Provider or any third party.</w:t>
      </w:r>
    </w:p>
    <w:p>
      <w:pPr>
        <w:pStyle w:val="ListParagraph"/>
        <w:numPr>
          <w:ilvl w:val="0"/>
          <w:numId w:val="2"/>
        </w:numPr>
        <w:spacing w:after="40"/>
      </w:pPr>
      <w:r>
        <w:t xml:space="preserve">Provider will use commercially reasonable security practices (account-level access controls, password-protected delivery links, encrypted-at-rest cloud storage on Dropbox).</w:t>
      </w:r>
    </w:p>
    <w:p>
      <w:pPr>
        <w:pStyle w:val="ListParagraph"/>
        <w:numPr>
          <w:ilvl w:val="0"/>
          <w:numId w:val="2"/>
        </w:numPr>
        <w:spacing w:after="40"/>
      </w:pPr>
      <w:r>
        <w:t xml:space="preserve">Provider will delete Confidential Information per the retention terms in the Service Agreement.</w:t>
      </w:r>
    </w:p>
    <w:p>
      <w:pPr>
        <w:pStyle w:val="Heading3"/>
        <w:spacing w:after="80"/>
      </w:pPr>
      <w:r>
        <w:t xml:space="preserve">3.  AI Processing Consent</w:t>
      </w:r>
    </w:p>
    <w:p>
      <w:pPr>
        <w:spacing w:after="40"/>
      </w:pPr>
      <w:r>
        <w:t xml:space="preserve">Producing a Booth Ready package involves the use of AI language tools to help identify proper nouns, draft phonetic respellings, surface possible pronunciation conflicts, and assist with chapter summarization. By signing this NDA, Client acknowledges and consents to the following:</w:t>
      </w:r>
    </w:p>
    <w:p>
      <w:pPr>
        <w:pStyle w:val="ListParagraph"/>
        <w:numPr>
          <w:ilvl w:val="0"/>
          <w:numId w:val="3"/>
        </w:numPr>
        <w:spacing w:after="40"/>
      </w:pPr>
      <w:r>
        <w:t xml:space="preserve">Manuscript text may be submitted in segments to AI providers under enterprise / API terms that prohibit the provider from using submitted content to train their models (notably OpenAI API, Anthropic API, or comparable services with the same contractual protections).</w:t>
      </w:r>
    </w:p>
    <w:p>
      <w:pPr>
        <w:pStyle w:val="ListParagraph"/>
        <w:numPr>
          <w:ilvl w:val="0"/>
          <w:numId w:val="3"/>
        </w:numPr>
        <w:spacing w:after="40"/>
      </w:pPr>
      <w:r>
        <w:t xml:space="preserve">No segment of the manuscript will be submitted to any AI service that does not contractually disclaim training use of customer data.</w:t>
      </w:r>
    </w:p>
    <w:p>
      <w:pPr>
        <w:pStyle w:val="ListParagraph"/>
        <w:numPr>
          <w:ilvl w:val="0"/>
          <w:numId w:val="3"/>
        </w:numPr>
        <w:spacing w:after="40"/>
      </w:pPr>
      <w:r>
        <w:t xml:space="preserve">AI output is reviewed and edited by Provider before inclusion in the deliverables — AI is used as an assistant, not as the author of the final package.</w:t>
      </w:r>
    </w:p>
    <w:p>
      <w:pPr>
        <w:pStyle w:val="ListParagraph"/>
        <w:numPr>
          <w:ilvl w:val="0"/>
          <w:numId w:val="3"/>
        </w:numPr>
        <w:spacing w:after="40"/>
      </w:pPr>
      <w:r>
        <w:t xml:space="preserve">Provider does not upload manuscripts to public/consumer AI chat interfaces (e.g., free-tier consumer ChatGPT, free-tier consumer Gemini) where training-on-input is the default.</w:t>
      </w:r>
    </w:p>
    <w:p>
      <w:pPr>
        <w:pStyle w:val="ListParagraph"/>
        <w:numPr>
          <w:ilvl w:val="0"/>
          <w:numId w:val="3"/>
        </w:numPr>
        <w:spacing w:after="40"/>
      </w:pPr>
      <w:r>
        <w:t xml:space="preserve">If Client prefers a fully AI-free workflow, Client may request this in writing at the time of engagement; Provider will accommodate where feasible, with turnaround extended to 10–14 business days.</w:t>
      </w:r>
    </w:p>
    <w:p>
      <w:pPr>
        <w:pStyle w:val="Heading3"/>
        <w:spacing w:after="80"/>
      </w:pPr>
      <w:r>
        <w:t xml:space="preserve">4.  Client Obligations</w:t>
      </w:r>
    </w:p>
    <w:p>
      <w:pPr>
        <w:spacing w:after="40"/>
      </w:pPr>
      <w:r>
        <w:t xml:space="preserve">Client will not publicly disclose Provider's working files, internal templates, or pricing details for Client-specific accommodations. Client may share the finished deliverable package with the narrator(s) and audiobook studio assigned to the project.</w:t>
      </w:r>
    </w:p>
    <w:p>
      <w:pPr>
        <w:pStyle w:val="Heading3"/>
        <w:spacing w:after="80"/>
      </w:pPr>
      <w:r>
        <w:t xml:space="preserve">5.  Term</w:t>
      </w:r>
    </w:p>
    <w:p>
      <w:pPr>
        <w:spacing w:after="40"/>
      </w:pPr>
      <w:r>
        <w:t xml:space="preserve">This NDA takes effect on the date of Client's signature and remains in effect for three (3) years from the date of final delivery, or until the manuscript is published, whichever comes first. The obligations regarding AI training use under Section 2(c) and Section 3 survive indefinitely.</w:t>
      </w:r>
    </w:p>
    <w:p>
      <w:pPr>
        <w:pStyle w:val="Heading3"/>
        <w:spacing w:after="80"/>
      </w:pPr>
      <w:r>
        <w:t xml:space="preserve">6.  Exclusions</w:t>
      </w:r>
    </w:p>
    <w:p>
      <w:pPr>
        <w:spacing w:after="40"/>
      </w:pPr>
      <w:r>
        <w:t xml:space="preserve">This NDA does not cover information that (a) was lawfully in Provider's possession before disclosure; (b) is or becomes public through no fault of Provider; (c) is independently developed by Provider without reference to the Confidential Information; or (d) must be disclosed by law or court order, with prompt written notice to Client where legally permitted.</w:t>
      </w:r>
    </w:p>
    <w:p>
      <w:pPr>
        <w:pStyle w:val="Heading3"/>
        <w:spacing w:after="80"/>
      </w:pPr>
      <w:r>
        <w:t xml:space="preserve">7.  Remedies</w:t>
      </w:r>
    </w:p>
    <w:p>
      <w:pPr>
        <w:spacing w:after="40"/>
      </w:pPr>
      <w:r>
        <w:t xml:space="preserve">Client acknowledges that monetary damages may be inadequate for a breach of this NDA and that Client is entitled to seek injunctive relief in addition to any other remedies available at law or in equity.</w:t>
      </w:r>
    </w:p>
    <w:p>
      <w:pPr>
        <w:pStyle w:val="Heading3"/>
        <w:spacing w:after="80"/>
      </w:pPr>
      <w:r>
        <w:t xml:space="preserve">8.  Governing Law</w:t>
      </w:r>
    </w:p>
    <w:p>
      <w:pPr>
        <w:spacing w:after="160"/>
      </w:pPr>
      <w:r>
        <w:t xml:space="preserve">This NDA is governed by the laws of the State of Colorado, USA, and is read together with the Booth Ready Service Agreement.</w:t>
      </w:r>
    </w:p>
    <w:p>
      <w:pPr>
        <w:pStyle w:val="Heading3"/>
        <w:spacing w:after="40"/>
      </w:pPr>
      <w:r>
        <w:t xml:space="preserve">Signatures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00"/>
        <w:gridCol w:w="1080"/>
        <w:gridCol w:w="4500"/>
      </w:tblGrid>
      <w:tr>
        <w:tc>
          <w:tcPr>
            <w:tcW w:type="dxa" w:w="4500"/>
            <w:tcBorders>
              <w:top w:val="none" w:color="FFFFFF" w:sz="0"/>
              <w:left w:val="none" w:color="FFFFFF" w:sz="0"/>
              <w:bottom w:val="none" w:color="FFFFFF" w:sz="0"/>
              <w:right w:val="none" w:color="FFFFFF" w:sz="0"/>
            </w:tcBorders>
            <w:tcMar>
              <w:top w:type="dxa" w:w="360"/>
              <w:left w:type="dxa" w:w="0"/>
              <w:bottom w:type="dxa" w:w="20"/>
              <w:right w:type="dxa" w:w="0"/>
            </w:tcMar>
          </w:tcPr>
          <w:p>
            <w:r>
              <w:t xml:space="preserve"> </w:t>
            </w:r>
          </w:p>
        </w:tc>
        <w:tc>
          <w:tcPr>
            <w:tcW w:type="dxa" w:w="1080"/>
            <w:tcBorders>
              <w:top w:val="none" w:color="FFFFFF" w:sz="0"/>
              <w:left w:val="none" w:color="FFFFFF" w:sz="0"/>
              <w:bottom w:val="none" w:color="FFFFFF" w:sz="0"/>
              <w:right w:val="none" w:color="FFFFFF" w:sz="0"/>
            </w:tcBorders>
          </w:tcPr>
          <w:p>
            <w:r>
              <w:t xml:space="preserve"> </w:t>
            </w:r>
          </w:p>
        </w:tc>
        <w:tc>
          <w:tcPr>
            <w:tcW w:type="dxa" w:w="4500"/>
            <w:tcBorders>
              <w:top w:val="none" w:color="FFFFFF" w:sz="0"/>
              <w:left w:val="none" w:color="FFFFFF" w:sz="0"/>
              <w:bottom w:val="none" w:color="FFFFFF" w:sz="0"/>
              <w:right w:val="none" w:color="FFFFFF" w:sz="0"/>
            </w:tcBorders>
            <w:tcMar>
              <w:top w:type="dxa" w:w="360"/>
              <w:left w:type="dxa" w:w="0"/>
              <w:bottom w:type="dxa" w:w="20"/>
              <w:right w:type="dxa" w:w="0"/>
            </w:tcMar>
          </w:tcPr>
          <w:p>
            <w:r>
              <w:t xml:space="preserve"> </w:t>
            </w:r>
          </w:p>
        </w:tc>
      </w:tr>
      <w:tr>
        <w:tc>
          <w:tcPr>
            <w:tcW w:type="dxa" w:w="4500"/>
            <w:tcBorders>
              <w:top w:val="single" w:color="1F1611" w:sz="6"/>
              <w:left w:val="none" w:color="FFFFFF" w:sz="0"/>
              <w:bottom w:val="none" w:color="FFFFFF" w:sz="0"/>
              <w:right w:val="none" w:color="FFFFFF" w:sz="0"/>
            </w:tcBorders>
            <w:tcMar>
              <w:top w:type="dxa" w:w="60"/>
              <w:left w:type="dxa" w:w="0"/>
              <w:bottom w:type="dxa" w:w="20"/>
              <w:right w:type="dxa" w:w="0"/>
            </w:tcMar>
          </w:tcPr>
          <w:p>
            <w:r>
              <w:rPr>
                <w:color w:val="5B4A3E"/>
                <w:sz w:val="16"/>
                <w:szCs w:val="16"/>
              </w:rPr>
              <w:t xml:space="preserve">Client signature  ·  date</w:t>
            </w:r>
          </w:p>
        </w:tc>
        <w:tc>
          <w:tcPr>
            <w:tcW w:type="dxa" w:w="1080"/>
            <w:tcBorders>
              <w:top w:val="none" w:color="FFFFFF" w:sz="0"/>
              <w:left w:val="none" w:color="FFFFFF" w:sz="0"/>
              <w:bottom w:val="none" w:color="FFFFFF" w:sz="0"/>
              <w:right w:val="none" w:color="FFFFFF" w:sz="0"/>
            </w:tcBorders>
          </w:tcPr>
          <w:p>
            <w:r>
              <w:t xml:space="preserve"> </w:t>
            </w:r>
          </w:p>
        </w:tc>
        <w:tc>
          <w:tcPr>
            <w:tcW w:type="dxa" w:w="4500"/>
            <w:tcBorders>
              <w:top w:val="single" w:color="1F1611" w:sz="6"/>
              <w:left w:val="none" w:color="FFFFFF" w:sz="0"/>
              <w:bottom w:val="none" w:color="FFFFFF" w:sz="0"/>
              <w:right w:val="none" w:color="FFFFFF" w:sz="0"/>
            </w:tcBorders>
            <w:tcMar>
              <w:top w:type="dxa" w:w="60"/>
              <w:left w:type="dxa" w:w="0"/>
              <w:bottom w:type="dxa" w:w="20"/>
              <w:right w:type="dxa" w:w="0"/>
            </w:tcMar>
          </w:tcPr>
          <w:p>
            <w:r>
              <w:rPr>
                <w:color w:val="5B4A3E"/>
                <w:sz w:val="16"/>
                <w:szCs w:val="16"/>
              </w:rPr>
              <w:t xml:space="preserve">Mike Vendetti — Provider  ·  date</w:t>
            </w:r>
          </w:p>
        </w:tc>
      </w:tr>
    </w:tbl>
    <w:p>
      <w:pPr>
        <w:spacing w:after="0"/>
      </w:pPr>
      <w:r>
        <w:rPr>
          <w:b/>
          <w:bCs/>
          <w:color w:val="5B4A3E"/>
          <w:sz w:val="18"/>
          <w:szCs w:val="18"/>
        </w:rPr>
        <w:t xml:space="preserve">Manuscript title: </w:t>
      </w:r>
      <w:r>
        <w:rPr>
          <w:color w:val="5B4A3E"/>
          <w:sz w:val="18"/>
          <w:szCs w:val="18"/>
        </w:rPr>
        <w:t xml:space="preserve">__________________________________     </w:t>
      </w:r>
      <w:r>
        <w:rPr>
          <w:b/>
          <w:bCs/>
          <w:color w:val="5B4A3E"/>
          <w:sz w:val="18"/>
          <w:szCs w:val="18"/>
        </w:rPr>
        <w:t xml:space="preserve">AI-free workflow requested: </w:t>
      </w:r>
      <w:r>
        <w:rPr>
          <w:color w:val="5B4A3E"/>
          <w:sz w:val="18"/>
          <w:szCs w:val="18"/>
        </w:rPr>
        <w:t xml:space="preserve">YES  /  NO</w:t>
      </w:r>
    </w:p>
    <w:sectPr>
      <w:headerReference w:type="default" r:id="rId7"/>
      <w:footerReference w:type="default" r:id="rId8"/>
      <w:pgSz w:w="12240" w:h="15840" w:orient="portrait"/>
      <w:pgMar w:top="720" w:right="1080" w:bottom="72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4A3E"/>
        <w:sz w:val="16"/>
        <w:szCs w:val="16"/>
      </w:rPr>
      <w:t xml:space="preserve">Page </w:t>
    </w:r>
    <w:r>
      <w:rPr>
        <w:color w:val="5B4A3E"/>
        <w:sz w:val="16"/>
        <w:szCs w:val="16"/>
      </w:rPr>
      <w:fldChar w:fldCharType="begin"/>
      <w:instrText xml:space="preserve">PAGE</w:instrText>
      <w:fldChar w:fldCharType="separate"/>
      <w:fldChar w:fldCharType="end"/>
    </w:r>
    <w:r>
      <w:rPr>
        <w:color w:val="5B4A3E"/>
        <w:sz w:val="16"/>
        <w:szCs w:val="16"/>
      </w:rPr>
      <w:t xml:space="preserve"> of </w:t>
    </w:r>
    <w:r>
      <w:rPr>
        <w:color w:val="5B4A3E"/>
        <w:sz w:val="16"/>
        <w:szCs w:val="16"/>
      </w:rPr>
      <w:fldChar w:fldCharType="begin"/>
      <w:instrText xml:space="preserve">NUMPAGES</w:instrText>
      <w:fldChar w:fldCharType="separate"/>
      <w:fldChar w:fldCharType="end"/>
    </w:r>
    <w:r>
      <w:rPr>
        <w:color w:val="D4D1CA"/>
        <w:sz w:val="16"/>
        <w:szCs w:val="16"/>
      </w:rPr>
      <w:t xml:space="preserve">   ·   </w:t>
    </w:r>
    <w:r>
      <w:rPr>
        <w:color w:val="5B4A3E"/>
        <w:sz w:val="16"/>
        <w:szCs w:val="16"/>
      </w:rPr>
      <w:t xml:space="preserve">mike@anumber1.com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6B1A1A"/>
        <w:sz w:val="18"/>
        <w:szCs w:val="18"/>
      </w:rPr>
      <w:t xml:space="preserve">Booth Ready Narrator Scripts</w:t>
    </w:r>
    <w:r>
      <w:rPr>
        <w:color w:val="D4D1CA"/>
        <w:sz w:val="18"/>
        <w:szCs w:val="18"/>
      </w:rPr>
      <w:t xml:space="preserve">   ·   </w:t>
    </w:r>
    <w:r>
      <w:rPr>
        <w:color w:val="5B4A3E"/>
        <w:sz w:val="18"/>
        <w:szCs w:val="18"/>
      </w:rPr>
      <w:t xml:space="preserve">Mike Vendetti  ·  mikevendetti.com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4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abstractNum w:abstractNumId="5"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4"/>
    <w:lvlOverride w:ilvl="0">
      <w:startOverride w:val="1"/>
    </w:lvlOverride>
  </w:num>
  <w:num w:numId="3">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60"/>
      <w:outlineLvl w:val="0"/>
    </w:pPr>
    <w:rPr>
      <w:rFonts w:ascii="Arial" w:cs="Arial" w:eastAsia="Arial" w:hAnsi="Arial"/>
      <w:b/>
      <w:bCs/>
      <w:color w:val="6B1A1A"/>
      <w:sz w:val="30"/>
      <w:szCs w:val="30"/>
    </w:rPr>
  </w:style>
  <w:style w:type="paragraph" w:styleId="Heading2">
    <w:name w:val="Heading 2"/>
    <w:basedOn w:val="Normal"/>
    <w:next w:val="Normal"/>
    <w:qFormat/>
    <w:pPr>
      <w:spacing w:after="60" w:before="180"/>
      <w:outlineLvl w:val="1"/>
    </w:pPr>
    <w:rPr>
      <w:rFonts w:ascii="Arial" w:cs="Arial" w:eastAsia="Arial" w:hAnsi="Arial"/>
      <w:b/>
      <w:bCs/>
      <w:color w:val="1F1611"/>
      <w:sz w:val="22"/>
      <w:szCs w:val="22"/>
    </w:rPr>
  </w:style>
  <w:style w:type="paragraph" w:styleId="Heading3">
    <w:name w:val="Heading 3"/>
    <w:basedOn w:val="Normal"/>
    <w:next w:val="Normal"/>
    <w:qFormat/>
    <w:pPr>
      <w:spacing w:after="20" w:before="80"/>
      <w:outlineLvl w:val="2"/>
    </w:pPr>
    <w:rPr>
      <w:rFonts w:ascii="Arial" w:cs="Arial" w:eastAsia="Arial" w:hAnsi="Arial"/>
      <w:b/>
      <w:bCs/>
      <w:color w:val="6B1A1A"/>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2026-06-03T03:21:39.034Z</dcterms:created>
  <dcterms:modified xsi:type="dcterms:W3CDTF">2026-06-03T03:21:39.034Z</dcterms:modified>
</cp:coreProperties>
</file>

<file path=docProps/custom.xml><?xml version="1.0" encoding="utf-8"?>
<Properties xmlns="http://schemas.openxmlformats.org/officeDocument/2006/custom-properties" xmlns:vt="http://schemas.openxmlformats.org/officeDocument/2006/docPropsVTypes"/>
</file>